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1.9.2 Двери, их назначение, классификация. Установка и крепление дверей.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Окно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 – это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светопрозрачное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ограждение, предназначенное для освещения и проветривания помещений.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Требования к окнам: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1) обеспечение достаточной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светопропускной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способности, т.е. соответствие коэффициенту естественной освещенности, который равен отношению площади оконного заполнения к площади пола, освещаемого помещения и зависит от назначения помещения;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к.е.о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.=1/2…1/12;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2) теплотехнические;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3) акустические;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4) удобство в эксплуатации;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5)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индустриальность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6) экономичность.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Классификация окон: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1) по назначению: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наружные;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внутренние (передаточные между смежными помещениями);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2) по характеру членения переплетов: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одностворчатые;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двухстворчатые;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в) трехстворчатые;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3) по способу открывания створок: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с глухими створками;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lastRenderedPageBreak/>
        <w:t>б) с открывающимися створками;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4) по устройству вентиляции: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через форточки;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через узкие вертикальные створки;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в) через фрамуги;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г) через вентиляционные короба;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5) по числу рядов остекления: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одинарное;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двойное;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в) тройное;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6) по виду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светопрозрачного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материала: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из обычного стекла толщиной 2…6 мм;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из специального стекла (солнцезащитного, декоративного и др.)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7) по роду материала: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а) деревянные;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б) из синтетических материалов;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в) из стеклопластика.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Окно состоит из следующих элементов: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438C" w:rsidRPr="0024438C" w:rsidTr="0024438C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24438C" w:rsidRPr="0024438C" w:rsidRDefault="0024438C" w:rsidP="0024438C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4438C" w:rsidRPr="0024438C" w:rsidRDefault="0024438C" w:rsidP="002443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оконной коробки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в виде прямоугольной рамы, предназначенной для навески переплетов. При значительных размерах окон для повышения их жесткости коробки могут иметь дополнительные внутренние бруски – импосты, которые располагают вертикально и горизонтально;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остекленных переплетов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, состоящих из створок, фрамуг (с горизонтальной подвеской) и форточек. В свою очередь глухие переплеты, фрамуги и створки состоят из </w:t>
      </w: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обвязок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(образующих каркас) и </w:t>
      </w: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горбыльков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(горизонтальных и вертикальных брусков внутри обвязки, разделяющих площадь створки, переплета на более мелкие ячейки).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lastRenderedPageBreak/>
        <w:t>подоконной доски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из бетона, древесины, обрамляющей оконный проем изнутри;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i/>
          <w:iCs/>
          <w:color w:val="424242"/>
          <w:szCs w:val="24"/>
          <w:lang w:eastAsia="ru-RU"/>
        </w:rPr>
        <w:t>наружного водоотлива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из листа оцинкованной кровельной стали.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noProof/>
          <w:color w:val="424242"/>
          <w:szCs w:val="24"/>
          <w:lang w:eastAsia="ru-RU"/>
        </w:rPr>
        <w:drawing>
          <wp:inline distT="0" distB="0" distL="0" distR="0">
            <wp:extent cx="3990975" cy="2409825"/>
            <wp:effectExtent l="0" t="0" r="9525" b="9525"/>
            <wp:docPr id="1" name="Рисунок 1" descr="http://ok-t.ru/studopedia/baza6/1003716955642.files/imag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6/1003716955642.files/image2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1 – створка; 2 – фрамуга; 3 – форточка; 4 – обвязка оконной коробки; 5 – горизонтальный импост коробки; 6 – обвязка створки; 7 – горбылек; 8 – глухая створка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По конструктивному решению оконные коробки бывают раздельные (с наружными и внутренними переплетами) и спаренные. Широко применяют окна со спаренными переплетами, в которых наружный и внутренний переплеты сближают до непосредственного соприкосновения и образуют как бы один переплет с двумя стеклами.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Более прогрессивной конструкцией по сравнению со спаренными переплетами являются стеклопакеты, вставляемые в одинарные переплеты. Такой пакет состоит из двух стекол с прослойкой сухого воздуха и обрамления рамкой из резины или пластмассы. Находят применение и пластмассовые оконные переплеты, которые в отличие от деревянных не загнивают, не рассыхаются и сохраняют плотность притвора.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Оконные переплеты из металлических сплавов обладают большой прочностью, долговечностью и имеют красивый внешний вид.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b/>
          <w:bCs/>
          <w:color w:val="424242"/>
          <w:szCs w:val="24"/>
          <w:lang w:eastAsia="ru-RU"/>
        </w:rPr>
        <w:t>Витраж</w:t>
      </w: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 отличается от окон существенно большей площадью остекления; это может быть и целиком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светопрозрачная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стена, навесная или самонесущая. Небольшой витраж высотой на один этаж – остекленное место, предназначенное для экспозиции или демонстрации каких-либо предметов – называют </w:t>
      </w:r>
      <w:r w:rsidRPr="0024438C">
        <w:rPr>
          <w:rFonts w:ascii="Tahoma" w:eastAsia="Times New Roman" w:hAnsi="Tahoma" w:cs="Tahoma"/>
          <w:b/>
          <w:bCs/>
          <w:color w:val="424242"/>
          <w:szCs w:val="24"/>
          <w:lang w:eastAsia="ru-RU"/>
        </w:rPr>
        <w:t>витриной.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438C" w:rsidRPr="0024438C" w:rsidTr="0024438C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24438C" w:rsidRPr="0024438C" w:rsidRDefault="0024438C" w:rsidP="0024438C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4438C" w:rsidRPr="0024438C" w:rsidRDefault="0024438C" w:rsidP="002443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Витражи и витрины возводят из индустриальных элементов, размеры которых кратны укрупненному модулю 3М (300 мм), с одинарным, двойным или тройным остеклением в зависимости от климатических условий и параметров внутренней среды помещений.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Переплеты витражей и витрин часто называют каркасом, который может быть стальным, деревянным или из алюминиевых сплавов. В витражах высотой более 6 м вертикальные элементы каркаса, воспринимающие большие ветровые нагрузки, выполняют в виде рам, ферм.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В каркас вставляют стеклопакеты, а также большепролетные неполированные или полированные стекла толщиной 6…8 мм. Наибольший размер 4,5×3,0 м при толщине 8 мм в настоящее время имеют полированные стекла.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Витражи и витрины с двойным раздельным остеклением подразделяют на проходные и непроходные. Проходные конструкции – глухие. Для обеспечения прохода человека в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межстекольное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пространство для протирания стекол ширина этого пространства принимается не менее 450 мм. При высоте витражей более 3 м это расстояние увеличивается до 800 мм. Для входа в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межстекольное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пространство предусматривают створку шириной не менее 600 мм из тамбура или из помещения. При протяженных витражах створки устраивают через каждые 15 м. В непроходных витражах одно из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светопрозрачных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ограждений проектируют глухим, а другое – целиком створным. Расстояние между наружным и внутренним ограждением принимают не более 150 мм.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Для защиты витрин и витражей от конденсата и обледенения внутреннюю конструкцию остекления тщательно герметизируют от проникновения в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межстекольное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пространство увлажненного воздуха из помещения.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Конструкции витражей и витрин можно устанавливать на отметке пола первого этажа, но не ниже 0,3м от уровня тротуара. Для снижения </w:t>
      </w:r>
      <w:proofErr w:type="spellStart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блесткости</w:t>
      </w:r>
      <w:proofErr w:type="spellEnd"/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 xml:space="preserve"> витринного стекла наружному остеклению придают наклон наружу до 10…15° или используют солнцезащитные свойства.</w:t>
      </w:r>
    </w:p>
    <w:p w:rsidR="0024438C" w:rsidRPr="0024438C" w:rsidRDefault="0024438C" w:rsidP="0024438C">
      <w:pPr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Cs w:val="24"/>
          <w:lang w:eastAsia="ru-RU"/>
        </w:rPr>
      </w:pPr>
      <w:r w:rsidRPr="0024438C">
        <w:rPr>
          <w:rFonts w:ascii="Tahoma" w:eastAsia="Times New Roman" w:hAnsi="Tahoma" w:cs="Tahoma"/>
          <w:color w:val="424242"/>
          <w:szCs w:val="24"/>
          <w:lang w:eastAsia="ru-RU"/>
        </w:rPr>
        <w:t> </w:t>
      </w:r>
    </w:p>
    <w:p w:rsidR="006E185F" w:rsidRDefault="006E185F">
      <w:bookmarkStart w:id="0" w:name="_GoBack"/>
      <w:bookmarkEnd w:id="0"/>
    </w:p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C"/>
    <w:rsid w:val="000E361C"/>
    <w:rsid w:val="0024438C"/>
    <w:rsid w:val="006E185F"/>
    <w:rsid w:val="009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DB08-EC93-4FA6-B5A5-9160FB4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43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44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2023-04-07T02:02:00Z</dcterms:created>
  <dcterms:modified xsi:type="dcterms:W3CDTF">2023-04-07T02:02:00Z</dcterms:modified>
</cp:coreProperties>
</file>