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25F1">
      <w:pPr>
        <w:pStyle w:val="2"/>
        <w:divId w:val="1194541271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>HYPERLINK "C:\\Users\\Пользователь\\Desktop\\учебник архив\\public_html\\page14.html"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 xml:space="preserve">Урок 14. Твердотельное моделирование. </w:t>
      </w:r>
      <w:r>
        <w:rPr>
          <w:rFonts w:eastAsia="Times New Roman"/>
        </w:rPr>
        <w:fldChar w:fldCharType="end"/>
      </w:r>
    </w:p>
    <w:p w:rsidR="00000000" w:rsidRDefault="00AB25F1">
      <w:pPr>
        <w:pStyle w:val="a5"/>
        <w:divId w:val="1194541271"/>
      </w:pPr>
      <w:r>
        <w:t>Создайте чертеж детали с размерами</w:t>
      </w:r>
      <w:proofErr w:type="gramStart"/>
      <w:r>
        <w:t xml:space="preserve"> .</w:t>
      </w:r>
      <w:proofErr w:type="gramEnd"/>
    </w:p>
    <w:p w:rsidR="00000000" w:rsidRDefault="00AB25F1">
      <w:pPr>
        <w:pStyle w:val="a5"/>
        <w:divId w:val="1194541271"/>
      </w:pPr>
      <w:r>
        <w:t> </w:t>
      </w:r>
    </w:p>
    <w:p w:rsidR="00000000" w:rsidRDefault="00AB25F1">
      <w:pPr>
        <w:pStyle w:val="a5"/>
        <w:divId w:val="1194541271"/>
      </w:pPr>
      <w:r>
        <w:rPr>
          <w:noProof/>
        </w:rPr>
        <w:drawing>
          <wp:inline distT="0" distB="0" distL="0" distR="0">
            <wp:extent cx="8667750" cy="3810000"/>
            <wp:effectExtent l="0" t="0" r="0" b="0"/>
            <wp:docPr id="1" name="Рисунок 1" descr="16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v1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5F1">
      <w:pPr>
        <w:pStyle w:val="a5"/>
        <w:divId w:val="1194541271"/>
      </w:pPr>
      <w:r>
        <w:t> </w:t>
      </w:r>
    </w:p>
    <w:p w:rsidR="00000000" w:rsidRDefault="00AB25F1">
      <w:pPr>
        <w:pStyle w:val="a5"/>
        <w:divId w:val="1194541271"/>
      </w:pPr>
      <w:r>
        <w:rPr>
          <w:noProof/>
        </w:rPr>
        <w:drawing>
          <wp:inline distT="0" distB="0" distL="0" distR="0">
            <wp:extent cx="8724900" cy="4086225"/>
            <wp:effectExtent l="0" t="0" r="0" b="9525"/>
            <wp:docPr id="2" name="Рисунок 2" descr="16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v2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5F1">
      <w:pPr>
        <w:pStyle w:val="a5"/>
        <w:divId w:val="1194541271"/>
      </w:pPr>
      <w:r>
        <w:t> </w:t>
      </w:r>
    </w:p>
    <w:p w:rsidR="00000000" w:rsidRDefault="00AB25F1">
      <w:pPr>
        <w:pStyle w:val="a5"/>
        <w:divId w:val="1194541271"/>
      </w:pPr>
      <w:r>
        <w:rPr>
          <w:noProof/>
        </w:rPr>
        <w:drawing>
          <wp:inline distT="0" distB="0" distL="0" distR="0">
            <wp:extent cx="8724900" cy="3533775"/>
            <wp:effectExtent l="0" t="0" r="0" b="9525"/>
            <wp:docPr id="3" name="Рисунок 3" descr="16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v3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5F1">
      <w:pPr>
        <w:pStyle w:val="a5"/>
        <w:divId w:val="1194541271"/>
      </w:pPr>
      <w:r>
        <w:t> </w:t>
      </w:r>
    </w:p>
    <w:p w:rsidR="00000000" w:rsidRDefault="00AB25F1">
      <w:pPr>
        <w:pStyle w:val="a5"/>
        <w:divId w:val="1194541271"/>
      </w:pPr>
      <w:r>
        <w:rPr>
          <w:noProof/>
        </w:rPr>
        <w:drawing>
          <wp:inline distT="0" distB="0" distL="0" distR="0">
            <wp:extent cx="8743950" cy="3686175"/>
            <wp:effectExtent l="0" t="0" r="0" b="9525"/>
            <wp:docPr id="4" name="Рисунок 4" descr="16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v4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5F1">
      <w:pPr>
        <w:divId w:val="487862481"/>
        <w:rPr>
          <w:rFonts w:eastAsia="Times New Roman"/>
        </w:rPr>
      </w:pPr>
      <w:r>
        <w:rPr>
          <w:rStyle w:val="a6"/>
          <w:rFonts w:eastAsia="Times New Roman"/>
        </w:rPr>
        <w:t>Грань это</w:t>
      </w:r>
    </w:p>
    <w:p w:rsidR="00000000" w:rsidRDefault="00AB25F1">
      <w:pPr>
        <w:divId w:val="165401779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in;height:18pt" o:ole="">
            <v:imagedata r:id="rId10" o:title=""/>
          </v:shape>
          <w:control r:id="rId11" w:name="DefaultOcxName" w:shapeid="_x0000_i1052"/>
        </w:object>
      </w:r>
      <w:r>
        <w:rPr>
          <w:rFonts w:eastAsia="Times New Roman"/>
        </w:rPr>
        <w:object w:dxaOrig="1440" w:dyaOrig="1440">
          <v:shape id="_x0000_i1055" type="#_x0000_t75" style="width:20.25pt;height:18pt" o:ole="">
            <v:imagedata r:id="rId12" o:title=""/>
          </v:shape>
          <w:control r:id="rId13" w:name="DefaultOcxName1" w:shapeid="_x0000_i1055"/>
        </w:object>
      </w:r>
      <w:r>
        <w:rPr>
          <w:rFonts w:eastAsia="Times New Roman"/>
        </w:rPr>
        <w:t xml:space="preserve">точка в трехмерном пространстве. Для твердого тела это может быть одна </w:t>
      </w:r>
      <w:r>
        <w:rPr>
          <w:rFonts w:eastAsia="Times New Roman"/>
        </w:rPr>
        <w:t>из точек на конце ребра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058" type="#_x0000_t75" style="width:20.25pt;height:18pt" o:ole="">
            <v:imagedata r:id="rId12" o:title=""/>
          </v:shape>
          <w:control r:id="rId14" w:name="DefaultOcxName2" w:shapeid="_x0000_i1058"/>
        </w:object>
      </w:r>
      <w:r>
        <w:rPr>
          <w:rFonts w:eastAsia="Times New Roman"/>
        </w:rPr>
        <w:t>пространственная кривая произвольной конфигурации, полученная на пересечении двух граней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061" type="#_x0000_t75" style="width:20.25pt;height:18pt" o:ole="">
            <v:imagedata r:id="rId12" o:title=""/>
          </v:shape>
          <w:control r:id="rId15" w:name="DefaultOcxName3" w:shapeid="_x0000_i1061"/>
        </w:object>
      </w:r>
      <w:r>
        <w:rPr>
          <w:rFonts w:eastAsia="Times New Roman"/>
        </w:rPr>
        <w:t>г</w:t>
      </w:r>
      <w:r>
        <w:rPr>
          <w:rFonts w:eastAsia="Times New Roman"/>
        </w:rPr>
        <w:t>ладкая часть поверхности детали, ограниченная замкнутым контуром из ребер</w:t>
      </w:r>
    </w:p>
    <w:p w:rsidR="00000000" w:rsidRDefault="00AB25F1">
      <w:pPr>
        <w:divId w:val="742601139"/>
        <w:rPr>
          <w:rFonts w:eastAsia="Times New Roman"/>
        </w:rPr>
      </w:pPr>
      <w:r>
        <w:rPr>
          <w:rStyle w:val="a6"/>
          <w:rFonts w:eastAsia="Times New Roman"/>
        </w:rPr>
        <w:t>Ребро это</w:t>
      </w:r>
    </w:p>
    <w:p w:rsidR="00000000" w:rsidRDefault="00AB25F1">
      <w:pPr>
        <w:divId w:val="85249772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64" type="#_x0000_t75" style="width:1in;height:18pt" o:ole="">
            <v:imagedata r:id="rId10" o:title=""/>
          </v:shape>
          <w:control r:id="rId16" w:name="DefaultOcxName4" w:shapeid="_x0000_i1064"/>
        </w:object>
      </w:r>
      <w:r>
        <w:rPr>
          <w:rFonts w:eastAsia="Times New Roman"/>
        </w:rPr>
        <w:object w:dxaOrig="1440" w:dyaOrig="1440">
          <v:shape id="_x0000_i1067" type="#_x0000_t75" style="width:20.25pt;height:18pt" o:ole="">
            <v:imagedata r:id="rId12" o:title=""/>
          </v:shape>
          <w:control r:id="rId17" w:name="DefaultOcxName5" w:shapeid="_x0000_i1067"/>
        </w:object>
      </w:r>
      <w:r>
        <w:rPr>
          <w:rFonts w:eastAsia="Times New Roman"/>
        </w:rPr>
        <w:t>точка в трехмерном пространстве. Для твердого тела это может быть одна из точек на конце ребра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070" type="#_x0000_t75" style="width:20.25pt;height:18pt" o:ole="">
            <v:imagedata r:id="rId12" o:title=""/>
          </v:shape>
          <w:control r:id="rId18" w:name="DefaultOcxName6" w:shapeid="_x0000_i1070"/>
        </w:object>
      </w:r>
      <w:r>
        <w:rPr>
          <w:rFonts w:eastAsia="Times New Roman"/>
        </w:rPr>
        <w:t>пространственная кривая произвольной конфигурации, полученная на пересечении двух граней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073" type="#_x0000_t75" style="width:20.25pt;height:18pt" o:ole="">
            <v:imagedata r:id="rId12" o:title=""/>
          </v:shape>
          <w:control r:id="rId19" w:name="DefaultOcxName7" w:shapeid="_x0000_i1073"/>
        </w:object>
      </w:r>
      <w:r>
        <w:rPr>
          <w:rFonts w:eastAsia="Times New Roman"/>
        </w:rPr>
        <w:t>гладкая часть поверхности детали, ограниченная замкнутым контуром из ребер</w:t>
      </w:r>
    </w:p>
    <w:p w:rsidR="00000000" w:rsidRDefault="00AB25F1">
      <w:pPr>
        <w:divId w:val="412894077"/>
        <w:rPr>
          <w:rFonts w:eastAsia="Times New Roman"/>
        </w:rPr>
      </w:pPr>
      <w:r>
        <w:rPr>
          <w:rStyle w:val="a6"/>
          <w:rFonts w:eastAsia="Times New Roman"/>
        </w:rPr>
        <w:t xml:space="preserve">Твердые тела в системе КОМПАС-3D создаются путем выполнения ... операций над отдельными объемными элементами </w:t>
      </w:r>
      <w:r>
        <w:rPr>
          <w:rStyle w:val="a6"/>
          <w:rFonts w:eastAsia="Times New Roman"/>
        </w:rPr>
        <w:t>детали</w:t>
      </w:r>
    </w:p>
    <w:p w:rsidR="00000000" w:rsidRDefault="00AB25F1">
      <w:pPr>
        <w:divId w:val="883174511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76" type="#_x0000_t75" style="width:1in;height:18pt" o:ole="">
            <v:imagedata r:id="rId10" o:title=""/>
          </v:shape>
          <w:control r:id="rId20" w:name="DefaultOcxName8" w:shapeid="_x0000_i1076"/>
        </w:object>
      </w:r>
      <w:r>
        <w:rPr>
          <w:rFonts w:eastAsia="Times New Roman"/>
        </w:rPr>
        <w:object w:dxaOrig="1440" w:dyaOrig="1440">
          <v:shape id="_x0000_i1079" type="#_x0000_t75" style="width:20.25pt;height:18pt" o:ole="">
            <v:imagedata r:id="rId12" o:title=""/>
          </v:shape>
          <w:control r:id="rId21" w:name="DefaultOcxName9" w:shapeid="_x0000_i1079"/>
        </w:object>
      </w:r>
      <w:r>
        <w:rPr>
          <w:rFonts w:eastAsia="Times New Roman"/>
        </w:rPr>
        <w:t>булевы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082" type="#_x0000_t75" style="width:20.25pt;height:18pt" o:ole="">
            <v:imagedata r:id="rId12" o:title=""/>
          </v:shape>
          <w:control r:id="rId22" w:name="DefaultOcxName10" w:shapeid="_x0000_i1082"/>
        </w:object>
      </w:r>
      <w:r>
        <w:rPr>
          <w:rFonts w:eastAsia="Times New Roman"/>
        </w:rPr>
        <w:t>сидоровы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085" type="#_x0000_t75" style="width:20.25pt;height:18pt" o:ole="">
            <v:imagedata r:id="rId12" o:title=""/>
          </v:shape>
          <w:control r:id="rId23" w:name="DefaultOcxName11" w:shapeid="_x0000_i1085"/>
        </w:object>
      </w:r>
      <w:r>
        <w:rPr>
          <w:rFonts w:eastAsia="Times New Roman"/>
        </w:rPr>
        <w:t>пространства</w:t>
      </w:r>
    </w:p>
    <w:p w:rsidR="00000000" w:rsidRDefault="00AB25F1">
      <w:pPr>
        <w:divId w:val="1089690683"/>
        <w:rPr>
          <w:rFonts w:eastAsia="Times New Roman"/>
        </w:rPr>
      </w:pPr>
      <w:r>
        <w:rPr>
          <w:rStyle w:val="a6"/>
          <w:rFonts w:eastAsia="Times New Roman"/>
        </w:rPr>
        <w:t>Вершина это</w:t>
      </w:r>
    </w:p>
    <w:p w:rsidR="00000000" w:rsidRDefault="00AB25F1">
      <w:pPr>
        <w:divId w:val="1425884065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088" type="#_x0000_t75" style="width:1in;height:18pt" o:ole="">
            <v:imagedata r:id="rId10" o:title=""/>
          </v:shape>
          <w:control r:id="rId24" w:name="DefaultOcxName12" w:shapeid="_x0000_i1088"/>
        </w:object>
      </w:r>
      <w:r>
        <w:rPr>
          <w:rFonts w:eastAsia="Times New Roman"/>
        </w:rPr>
        <w:object w:dxaOrig="1440" w:dyaOrig="1440">
          <v:shape id="_x0000_i1091" type="#_x0000_t75" style="width:20.25pt;height:18pt" o:ole="">
            <v:imagedata r:id="rId12" o:title=""/>
          </v:shape>
          <w:control r:id="rId25" w:name="DefaultOcxName13" w:shapeid="_x0000_i1091"/>
        </w:object>
      </w:r>
      <w:r>
        <w:rPr>
          <w:rFonts w:eastAsia="Times New Roman"/>
        </w:rPr>
        <w:t xml:space="preserve">точка в трехмерном пространстве. </w:t>
      </w:r>
      <w:r>
        <w:rPr>
          <w:rFonts w:eastAsia="Times New Roman"/>
        </w:rPr>
        <w:t>Для твердого тела это может быть одна из точек на конце ребра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094" type="#_x0000_t75" style="width:20.25pt;height:18pt" o:ole="">
            <v:imagedata r:id="rId12" o:title=""/>
          </v:shape>
          <w:control r:id="rId26" w:name="DefaultOcxName14" w:shapeid="_x0000_i1094"/>
        </w:object>
      </w:r>
      <w:r>
        <w:rPr>
          <w:rFonts w:eastAsia="Times New Roman"/>
        </w:rPr>
        <w:t>пространственная кривая произвольной конфигурации, полученная на пересечении двух граней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097" type="#_x0000_t75" style="width:20.25pt;height:18pt" o:ole="">
            <v:imagedata r:id="rId12" o:title=""/>
          </v:shape>
          <w:control r:id="rId27" w:name="DefaultOcxName15" w:shapeid="_x0000_i1097"/>
        </w:object>
      </w:r>
      <w:r>
        <w:rPr>
          <w:rFonts w:eastAsia="Times New Roman"/>
        </w:rPr>
        <w:t>гладкая часть поверхности детали, ограниченная замкнутым контуром из ребер</w:t>
      </w:r>
    </w:p>
    <w:p w:rsidR="00000000" w:rsidRDefault="00AB25F1">
      <w:pPr>
        <w:divId w:val="628244407"/>
        <w:rPr>
          <w:rFonts w:eastAsia="Times New Roman"/>
        </w:rPr>
      </w:pPr>
      <w:r>
        <w:rPr>
          <w:rStyle w:val="a6"/>
          <w:rFonts w:eastAsia="Times New Roman"/>
        </w:rPr>
        <w:t xml:space="preserve">Как называются </w:t>
      </w:r>
      <w:proofErr w:type="gramStart"/>
      <w:r>
        <w:rPr>
          <w:rStyle w:val="a6"/>
          <w:rFonts w:eastAsia="Times New Roman"/>
        </w:rPr>
        <w:t>операции</w:t>
      </w:r>
      <w:proofErr w:type="gramEnd"/>
      <w:r>
        <w:rPr>
          <w:rStyle w:val="a6"/>
          <w:rFonts w:eastAsia="Times New Roman"/>
        </w:rPr>
        <w:t xml:space="preserve"> с помощью которых материал моделей добавляется, вычитается и пересекается</w:t>
      </w:r>
    </w:p>
    <w:p w:rsidR="00000000" w:rsidRDefault="00AB25F1">
      <w:pPr>
        <w:divId w:val="1664700397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00" type="#_x0000_t75" style="width:1in;height:18pt" o:ole="">
            <v:imagedata r:id="rId10" o:title=""/>
          </v:shape>
          <w:control r:id="rId28" w:name="DefaultOcxName16" w:shapeid="_x0000_i1100"/>
        </w:object>
      </w:r>
      <w:r>
        <w:rPr>
          <w:rFonts w:eastAsia="Times New Roman"/>
        </w:rPr>
        <w:object w:dxaOrig="1440" w:dyaOrig="1440">
          <v:shape id="_x0000_i1103" type="#_x0000_t75" style="width:20.25pt;height:18pt" o:ole="">
            <v:imagedata r:id="rId12" o:title=""/>
          </v:shape>
          <w:control r:id="rId29" w:name="DefaultOcxName17" w:shapeid="_x0000_i1103"/>
        </w:object>
      </w:r>
      <w:r>
        <w:rPr>
          <w:rFonts w:eastAsia="Times New Roman"/>
        </w:rPr>
        <w:t>булевы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106" type="#_x0000_t75" style="width:20.25pt;height:18pt" o:ole="">
            <v:imagedata r:id="rId12" o:title=""/>
          </v:shape>
          <w:control r:id="rId30" w:name="DefaultOcxName18" w:shapeid="_x0000_i1106"/>
        </w:object>
      </w:r>
      <w:r>
        <w:rPr>
          <w:rFonts w:eastAsia="Times New Roman"/>
        </w:rPr>
        <w:t>сидоровы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109" type="#_x0000_t75" style="width:20.25pt;height:18pt" o:ole="">
            <v:imagedata r:id="rId12" o:title=""/>
          </v:shape>
          <w:control r:id="rId31" w:name="DefaultOcxName19" w:shapeid="_x0000_i1109"/>
        </w:object>
      </w:r>
      <w:r>
        <w:rPr>
          <w:rFonts w:eastAsia="Times New Roman"/>
        </w:rPr>
        <w:t>пространства</w:t>
      </w:r>
    </w:p>
    <w:p w:rsidR="00000000" w:rsidRDefault="00AB25F1">
      <w:pPr>
        <w:divId w:val="1232085006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112" type="#_x0000_t75" style="width:76.5pt;height:22.5pt" o:ole="">
            <v:imagedata r:id="rId32" o:title=""/>
          </v:shape>
          <w:control r:id="rId33" w:name="DefaultOcxName20" w:shapeid="_x0000_i1112"/>
        </w:object>
      </w:r>
    </w:p>
    <w:p w:rsidR="00000000" w:rsidRDefault="00AB25F1">
      <w:pPr>
        <w:numPr>
          <w:ilvl w:val="0"/>
          <w:numId w:val="2"/>
        </w:numPr>
        <w:spacing w:before="100" w:beforeAutospacing="1" w:after="100" w:afterAutospacing="1"/>
        <w:divId w:val="2117433951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AB25F1">
      <w:pPr>
        <w:pStyle w:val="a5"/>
        <w:divId w:val="825324560"/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7F48"/>
    <w:multiLevelType w:val="multilevel"/>
    <w:tmpl w:val="8DF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62472"/>
    <w:multiLevelType w:val="multilevel"/>
    <w:tmpl w:val="DCF0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25F1"/>
    <w:rsid w:val="00AB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25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5F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25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5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6v3.jpg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6v2.jpg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6v1.jpg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16v4.jpg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1837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14. Твердотельное моделирование.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14. Твердотельное моделирование.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2019-06-20T13:21:00Z</dcterms:created>
  <dcterms:modified xsi:type="dcterms:W3CDTF">2019-06-20T13:21:00Z</dcterms:modified>
</cp:coreProperties>
</file>